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46A09">
      <w:pPr>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内蒙古自治区呼伦贝尔市西部地区内蒙古东部草原沙地综合治理项目EPC二标段运输及装卸服务项目服务要求</w:t>
      </w:r>
    </w:p>
    <w:p w14:paraId="2F3AADD9">
      <w:pPr>
        <w:rPr>
          <w:rFonts w:hint="eastAsia" w:ascii="仿宋_GB2312" w:hAnsi="仿宋_GB2312" w:eastAsia="仿宋_GB2312" w:cs="仿宋_GB2312"/>
          <w:b/>
          <w:bCs/>
          <w:sz w:val="32"/>
          <w:szCs w:val="32"/>
          <w:lang w:val="en-US" w:eastAsia="zh-CN"/>
        </w:rPr>
      </w:pPr>
    </w:p>
    <w:p w14:paraId="0CC1923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一、项目基本信息</w:t>
      </w:r>
    </w:p>
    <w:p w14:paraId="1D2AC9D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1. 项目名称：</w:t>
      </w:r>
      <w:r>
        <w:rPr>
          <w:rFonts w:hint="eastAsia" w:ascii="仿宋_GB2312" w:hAnsi="仿宋_GB2312" w:eastAsia="仿宋_GB2312" w:cs="仿宋_GB2312"/>
          <w:sz w:val="32"/>
          <w:szCs w:val="32"/>
          <w:lang w:val="en-US" w:eastAsia="zh-CN"/>
        </w:rPr>
        <w:t>内蒙古自治区呼伦贝尔市西部地区内蒙古东部草原沙地综合治理项目EPC二标段运输及装卸服务项目</w:t>
      </w:r>
    </w:p>
    <w:p w14:paraId="2268647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2. 采购人：</w:t>
      </w:r>
      <w:r>
        <w:rPr>
          <w:rFonts w:hint="eastAsia" w:ascii="仿宋_GB2312" w:hAnsi="仿宋_GB2312" w:eastAsia="仿宋_GB2312" w:cs="仿宋_GB2312"/>
          <w:sz w:val="32"/>
          <w:szCs w:val="32"/>
          <w:lang w:val="en-US" w:eastAsia="zh-CN"/>
        </w:rPr>
        <w:t>呼伦贝尔林业集团营林绿化有限公司</w:t>
      </w:r>
    </w:p>
    <w:p w14:paraId="3AF1F60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3. 项目地点：</w:t>
      </w:r>
      <w:r>
        <w:rPr>
          <w:rFonts w:hint="eastAsia" w:ascii="仿宋_GB2312" w:hAnsi="仿宋_GB2312" w:eastAsia="仿宋_GB2312" w:cs="仿宋_GB2312"/>
          <w:sz w:val="32"/>
          <w:szCs w:val="32"/>
          <w:lang w:val="en-US" w:eastAsia="zh-CN"/>
        </w:rPr>
        <w:t>内蒙古呼伦贝尔市海拉尔区、新巴尔虎左旗、陈巴尔虎旗、鄂温克自治旗</w:t>
      </w:r>
    </w:p>
    <w:p w14:paraId="6319FF3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4. 服务内容：</w:t>
      </w:r>
      <w:r>
        <w:rPr>
          <w:rFonts w:hint="eastAsia" w:ascii="仿宋_GB2312" w:hAnsi="仿宋_GB2312" w:eastAsia="仿宋_GB2312" w:cs="仿宋_GB2312"/>
          <w:sz w:val="32"/>
          <w:szCs w:val="32"/>
          <w:lang w:val="en-US" w:eastAsia="zh-CN"/>
        </w:rPr>
        <w:t>负责采购人指定三个库房的化肥、草种装车作业，全程公路运输至各旗县施工地点，并完成目的地卸车作业，包含全程运输、人工及机械装卸、货物规整、现场清理等全部配套服务。</w:t>
      </w:r>
    </w:p>
    <w:p w14:paraId="3299C82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5. 服务总量：</w:t>
      </w:r>
      <w:r>
        <w:rPr>
          <w:rFonts w:hint="eastAsia" w:ascii="仿宋_GB2312" w:hAnsi="仿宋_GB2312" w:eastAsia="仿宋_GB2312" w:cs="仿宋_GB2312"/>
          <w:sz w:val="32"/>
          <w:szCs w:val="32"/>
          <w:lang w:val="en-US" w:eastAsia="zh-CN"/>
        </w:rPr>
        <w:t>化肥共计13606吨，草种共计150吨，总运输装卸量13756吨，实际服务量以采购人实际调度发货量为准。</w:t>
      </w:r>
    </w:p>
    <w:p w14:paraId="0296306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6. 服务期限：</w:t>
      </w:r>
      <w:r>
        <w:rPr>
          <w:rFonts w:hint="eastAsia" w:ascii="仿宋_GB2312" w:hAnsi="仿宋_GB2312" w:eastAsia="仿宋_GB2312" w:cs="仿宋_GB2312"/>
          <w:sz w:val="32"/>
          <w:szCs w:val="32"/>
          <w:lang w:val="en-US" w:eastAsia="zh-CN"/>
        </w:rPr>
        <w:t>自合同签订之日起至全部物资运输装卸作业完成为止。</w:t>
      </w:r>
    </w:p>
    <w:p w14:paraId="172DACD6">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二、物资仓储库房地址</w:t>
      </w:r>
    </w:p>
    <w:p w14:paraId="0603C4D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本项目物资存放于三处固定库房，服务商需统一承接全部库房运输任务，不得拆分服务：</w:t>
      </w:r>
    </w:p>
    <w:p w14:paraId="78A76D1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海拉尔区公安局监管支队北侧库房</w:t>
      </w:r>
    </w:p>
    <w:p w14:paraId="4D3BB29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新巴尔虎左旗贝尔街与阿尔山路交叉口库房</w:t>
      </w:r>
    </w:p>
    <w:p w14:paraId="7BB2E5A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鄂温克大地草业院内库房</w:t>
      </w:r>
    </w:p>
    <w:p w14:paraId="49CA1887">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三、物资送达目的地</w:t>
      </w:r>
    </w:p>
    <w:p w14:paraId="6E18811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陈巴尔虎旗：乌珠尔苏木机动草场、希格登嘎查、巴彦乌拉嘎查、额尔敦乌拉嘎查、巴彦布日德嘎查、宝日汗图嘎查、安格尔图嘎查、哈日干图嘎查、乌布日诺尔嘎查、格根胡硕嘎查；</w:t>
      </w:r>
    </w:p>
    <w:p w14:paraId="3EE9172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鄂温克自治旗：阿拉坦敖希特嘎查、巴彦乌拉嘎查、巴音乌拉嘎查、毕鲁图嘎查、布日都嘎查、大雁镇、哈克木嘎查、哈日嘎那嘎查、辉苏木、孟根托亚嘎查、莫和尔图嘎查、特莫胡珠嘎查、维特很嘎查、苇子坑嘎查、乌兰宝力格嘎查、锡尼河西苏木、喜桂图嘎查、雅尔斯嘎查；</w:t>
      </w:r>
    </w:p>
    <w:p w14:paraId="4BCADD9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新巴尔虎左旗：敖伦诺尔嘎查、白音希勒嘎查、呼德勒木日嘎查、呼格吉乐图嘎查、塔班敖都嘎查。范围内各指定施工地点（具体点位以采购人实时调度通知为准）。</w:t>
      </w:r>
    </w:p>
    <w:p w14:paraId="146AD5CB">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四、人员资质要求</w:t>
      </w:r>
    </w:p>
    <w:p w14:paraId="17244B7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所有参与本项目运输作业的司机，必须持有有效的道路运输从业人员从业资格证及对应准驾车型驾驶证，证件齐全且在有效期内。</w:t>
      </w:r>
    </w:p>
    <w:p w14:paraId="00DC063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司机无重大交通事故记录，服从采购人调度管理。</w:t>
      </w:r>
    </w:p>
    <w:p w14:paraId="0BB54F39">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配备专职装卸作业人员，作业人员身体健康，具备物资装卸作业经验。</w:t>
      </w:r>
    </w:p>
    <w:p w14:paraId="7FE6DB52">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五、运输车辆要求</w:t>
      </w:r>
    </w:p>
    <w:p w14:paraId="2B472D1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投入本项目的运输车辆配备数量不少于6台，车辆实际投入使用数量、调度频次可根据采购人实时作业需求及发货指令灵活调整，具体使用量以采购人现场要求为准，投入本项目的运输车辆手续齐全、年检合格、车况良好。</w:t>
      </w:r>
    </w:p>
    <w:p w14:paraId="3F7E28A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所有运输车辆必须购买全额保险，包含交强险、货物运输险、第三者责任险，保险有效期覆盖整个服务周期。</w:t>
      </w:r>
    </w:p>
    <w:p w14:paraId="078E257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车辆数量满足项目运输调度需求，可根据采购人发货计划随时调配，保障物资及时送达。</w:t>
      </w:r>
    </w:p>
    <w:p w14:paraId="6660B9C9">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六、装卸设备要求</w:t>
      </w:r>
    </w:p>
    <w:p w14:paraId="2C8743D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供应商须自备足额、性能完好的装卸设备，全程自行承担设备使用、维护、燃油及人工成本：</w:t>
      </w:r>
    </w:p>
    <w:p w14:paraId="4AE94D0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必备设备：铲车、叉车总装卸设备数量固定不少于6台</w:t>
      </w:r>
    </w:p>
    <w:p w14:paraId="3DFC847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，满足库房大批量化肥、草种快速装车、卸车作业需求。</w:t>
      </w:r>
    </w:p>
    <w:p w14:paraId="7D4C59A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设备状态：设备运行正常。</w:t>
      </w:r>
    </w:p>
    <w:p w14:paraId="736B2E8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设备配置数量需匹配运输频次，保障装车、卸车高效衔接，无作业延误。</w:t>
      </w:r>
    </w:p>
    <w:p w14:paraId="674E7766">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七、服务内容及作业标准</w:t>
      </w:r>
    </w:p>
    <w:p w14:paraId="7A5A5D05">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1.整体服务范围</w:t>
      </w:r>
    </w:p>
    <w:p w14:paraId="2D9C96F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商全程负责三个指定库房的物资出库装车、短途及长途运输、施工地点卸车、物资规整堆放、作业现场清理等全部工作，包含人工、设备、车辆、保险、运输损耗、现场防护等所有费用，采购人无需额外支付任何费用，运输费用结算以实际发生运距为准，据实核算。</w:t>
      </w:r>
    </w:p>
    <w:p w14:paraId="029CAB97">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2.装车作业要求</w:t>
      </w:r>
    </w:p>
    <w:p w14:paraId="4BFEC16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（1）严格按照采购人出库清单核对化肥、草种品类、数量，核对无误后方可装车，做好装车台账记录。</w:t>
      </w:r>
    </w:p>
    <w:p w14:paraId="3471583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规范使用叉车、铲车作业，轻装轻放，避免物资破损、洒落、受潮，袋装物资整齐码放。</w:t>
      </w:r>
    </w:p>
    <w:p w14:paraId="0FDDC16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（2）装车完成后清理库房作业区域，保持场地整洁。</w:t>
      </w:r>
    </w:p>
    <w:p w14:paraId="4D016FB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3.运输作业要求</w:t>
      </w:r>
    </w:p>
    <w:p w14:paraId="172B47A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严格遵守道路交通法规，按照采购人指定路线、指定时限将物资安全送达施工地点。</w:t>
      </w:r>
    </w:p>
    <w:p w14:paraId="33D9BA5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（2）运输全程做好物资防护，做好防尘、防潮、防丢失、防破损措施，运输途中发生物资洒落、破损、丢失、受潮等问题，由服务商全额承担损失。</w:t>
      </w:r>
    </w:p>
    <w:p w14:paraId="03EF33B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（3）服从采购人统一调度，按需调配车辆，保障施工物资供应时效，不得无故拖延、拒运。</w:t>
      </w:r>
    </w:p>
    <w:p w14:paraId="6E18F9BC">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4、卸车作业要求</w:t>
      </w:r>
    </w:p>
    <w:p w14:paraId="42CED33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（1）物资抵达施工现场后，按照采购人指定位置规范卸车、整齐堆放，分类规整。</w:t>
      </w:r>
    </w:p>
    <w:p w14:paraId="0D9366F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（2）卸车过程规范操作，杜绝暴力卸车，避免物资损毁、场地污染。</w:t>
      </w:r>
    </w:p>
    <w:p w14:paraId="455070F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（3）卸车完成后清理现场洒落物资及作业垃圾，完成现场交接，签字确认收货数量。</w:t>
      </w:r>
    </w:p>
    <w:p w14:paraId="761706AC">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5、损耗及责任约定</w:t>
      </w:r>
    </w:p>
    <w:p w14:paraId="23340F2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化肥、草种属于精细物资，全程运输装卸损耗由服务商承担，采购人按实际签收合格数量结算；因操作不当、运输防护不到位造成的物资短缺、破损、变质，服务商需无条件补齐或按市场价赔偿。</w:t>
      </w:r>
    </w:p>
    <w:p w14:paraId="4EB2B28F">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八、报价及结算规则</w:t>
      </w:r>
    </w:p>
    <w:p w14:paraId="1A1F8C85">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一、报价要求</w:t>
      </w:r>
    </w:p>
    <w:p w14:paraId="6FB71A8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本项目采用单价包干模式，运输、装卸单价固定不变不调价；装卸费按实际签收吨位结算，运费按实际运输吨位、实际运输里程据实核算，报价货物出库至施工点位重车运输、车辆空驶返回库房产生的燃油、装卸、设备、人工、保险、车辆保养维修、燃油、税费、短途转运、现场清理等全部费</w:t>
      </w:r>
      <w:bookmarkStart w:id="0" w:name="_GoBack"/>
      <w:bookmarkEnd w:id="0"/>
      <w:r>
        <w:rPr>
          <w:rFonts w:hint="eastAsia" w:ascii="仿宋_GB2312" w:hAnsi="仿宋_GB2312" w:eastAsia="仿宋_GB2312" w:cs="仿宋_GB2312"/>
          <w:sz w:val="32"/>
          <w:szCs w:val="32"/>
          <w:lang w:val="en-US" w:eastAsia="zh-CN"/>
        </w:rPr>
        <w:t>用，采购人不再支付其他额外费用。</w:t>
      </w:r>
    </w:p>
    <w:p w14:paraId="4E990E9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运输单价最高限价</w:t>
      </w:r>
      <w:r>
        <w:rPr>
          <w:rFonts w:hint="eastAsia" w:ascii="仿宋_GB2312" w:hAnsi="仿宋_GB2312" w:eastAsia="仿宋_GB2312" w:cs="仿宋_GB2312"/>
          <w:sz w:val="32"/>
          <w:szCs w:val="32"/>
          <w:highlight w:val="none"/>
          <w:lang w:val="en-US" w:eastAsia="zh-CN"/>
        </w:rPr>
        <w:t>1.1元/吨/公里</w:t>
      </w:r>
      <w:r>
        <w:rPr>
          <w:rFonts w:hint="eastAsia" w:ascii="仿宋_GB2312" w:hAnsi="仿宋_GB2312" w:eastAsia="仿宋_GB2312" w:cs="仿宋_GB2312"/>
          <w:sz w:val="32"/>
          <w:szCs w:val="32"/>
          <w:lang w:val="en-US" w:eastAsia="zh-CN"/>
        </w:rPr>
        <w:t>，装卸单价最高限价45元/吨，响应报价不得高于对应限价，否则按无效响应处理。</w:t>
      </w:r>
    </w:p>
    <w:p w14:paraId="5C05362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供应商需分别填报运输单价、装卸单价，明确含税税率，承诺开具增值税专用发票。</w:t>
      </w:r>
    </w:p>
    <w:p w14:paraId="5CA1C52F">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二、结算方式</w:t>
      </w:r>
    </w:p>
    <w:p w14:paraId="513D771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结算依据：以采购人各站点实际签收合格的物资吨位为准，按月/按批次结算（具体以合同约定为准）。</w:t>
      </w:r>
    </w:p>
    <w:p w14:paraId="15F8E78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结算流程：服务商完成当期作业并提交结算资料、合规发票，采购人审核无误后按合同约定支付款项。</w:t>
      </w:r>
    </w:p>
    <w:p w14:paraId="2182C92F">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九、履约要求及违约责任</w:t>
      </w:r>
    </w:p>
    <w:p w14:paraId="74C4E087">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1、履约要求</w:t>
      </w:r>
    </w:p>
    <w:p w14:paraId="4F1737D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（1）中选服务商不得转包、分包本项目服务，一经发现，采购人有权单方解除合同，没收履约保证金，取消合作资格。</w:t>
      </w:r>
    </w:p>
    <w:p w14:paraId="1915252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（2）严格服从采购人调度安排，按时完成运输装卸任务，保障施工物资供应稳定。</w:t>
      </w:r>
    </w:p>
    <w:p w14:paraId="0834073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全程做好安全生产管理，作业过程中发生的人员伤亡、设备损坏、交通事故、物资损失、运输途中车辆陷车产生的施救费用、车辆碾压牧民草场造成的赔偿、纠纷协调等全部责任及经济损失，均由服务商全额承担。</w:t>
      </w:r>
    </w:p>
    <w:p w14:paraId="365E3931">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2、违约责任</w:t>
      </w:r>
    </w:p>
    <w:p w14:paraId="540B54E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（1）未按约定时限完成运输装卸作业，每逾期一次，扣除当期服务费的5%，累计逾期3次及以上，采购人有权终止合同。</w:t>
      </w:r>
    </w:p>
    <w:p w14:paraId="7B2463D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（2）因作业不当造成物资破损、受潮、丢失的，服务商需在24小时内补齐物资或按市场价全额赔偿。</w:t>
      </w:r>
    </w:p>
    <w:p w14:paraId="530DFF8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（3)服务质量不达标、作业不规范、拒不服从调度的，采购人有权扣除相应服务费，情节严重的终止合作，并列入失信合作名单。</w:t>
      </w:r>
    </w:p>
    <w:p w14:paraId="087F3712">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十、其他事项</w:t>
      </w:r>
    </w:p>
    <w:p w14:paraId="08A6BCE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本项目比选文件未尽事宜，由双方在合同中进一步约定。</w:t>
      </w:r>
    </w:p>
    <w:p w14:paraId="17783ED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供应商提交的响应文件均为有效承诺，一旦中选，需严格履约。</w:t>
      </w:r>
    </w:p>
    <w:p w14:paraId="21860C7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采购人有权根据项目实际情况，对服务内容、作业频次进行合理调整，服务商需无条件配合。</w:t>
      </w:r>
    </w:p>
    <w:p w14:paraId="054B39B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 本比选文件最终解释权归采购人所有。</w:t>
      </w:r>
    </w:p>
    <w:p w14:paraId="1DBD1531">
      <w:pPr>
        <w:rPr>
          <w:rFonts w:hint="eastAsia" w:ascii="仿宋_GB2312" w:hAnsi="仿宋_GB2312" w:eastAsia="仿宋_GB2312" w:cs="仿宋_GB2312"/>
          <w:b/>
          <w:bCs/>
          <w:sz w:val="32"/>
          <w:szCs w:val="32"/>
          <w:lang w:val="en-US" w:eastAsia="zh-CN"/>
        </w:rPr>
      </w:pPr>
    </w:p>
    <w:p w14:paraId="799EDDA6">
      <w:pPr>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D40A9F"/>
    <w:rsid w:val="3AD40A9F"/>
    <w:rsid w:val="75663A9B"/>
    <w:rsid w:val="770B66E6"/>
    <w:rsid w:val="7C416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2597</Words>
  <Characters>2648</Characters>
  <Lines>0</Lines>
  <Paragraphs>0</Paragraphs>
  <TotalTime>12</TotalTime>
  <ScaleCrop>false</ScaleCrop>
  <LinksUpToDate>false</LinksUpToDate>
  <CharactersWithSpaces>2677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2026-07-02T09:45:00Z</dcterms:created>
  <dc:creator>Administrator</dc:creator>
  <cp:lastModifiedBy>                 </cp:lastModifiedBy>
  <dcterms:modified xsi:type="dcterms:W3CDTF">2026-07-03T06:12:57Z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FDAA76C0D86C483F92EFBF8F813ADBC4_11</vt:lpwstr>
  </property>
  <property fmtid="{D5CDD505-2E9C-101B-9397-08002B2CF9AE}" pid="4" name="KSOTemplateDocerSaveRecord">
    <vt:lpwstr>eyJoZGlkIjoiNzQ4ZGQ0MGI0NGI4ZWQ4ZGI0M2M4YWQ3NDA0YjdmMjAiLCJ1c2VySWQiOiIyMzgyOTMzNDIifQ==</vt:lpwstr>
  </property>
</Properties>
</file>